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w:t>
      </w:r>
      <w:r w:rsidRPr="00B57683">
        <w:rPr>
          <w:rFonts w:ascii="Arial" w:hAnsi="Arial" w:cs="Arial"/>
          <w:i/>
          <w:iCs/>
          <w:color w:val="231F20"/>
          <w:sz w:val="24"/>
          <w:szCs w:val="24"/>
        </w:rPr>
        <w:t>II</w:t>
      </w:r>
      <w:r w:rsidRPr="00B57683">
        <w:rPr>
          <w:rFonts w:ascii="Arial" w:hAnsi="Arial" w:cs="Arial"/>
          <w:color w:val="231F20"/>
          <w:sz w:val="24"/>
          <w:szCs w:val="24"/>
        </w:rPr>
        <w:t xml:space="preserve">) </w:t>
      </w:r>
      <w:proofErr w:type="gramStart"/>
      <w:r w:rsidRPr="00B57683">
        <w:rPr>
          <w:rFonts w:ascii="Arial" w:hAnsi="Arial" w:cs="Arial"/>
          <w:color w:val="231F20"/>
          <w:sz w:val="24"/>
          <w:szCs w:val="24"/>
        </w:rPr>
        <w:t>in</w:t>
      </w:r>
      <w:proofErr w:type="gramEnd"/>
      <w:r w:rsidRPr="00B57683">
        <w:rPr>
          <w:rFonts w:ascii="Arial" w:hAnsi="Arial" w:cs="Arial"/>
          <w:color w:val="231F20"/>
          <w:sz w:val="24"/>
          <w:szCs w:val="24"/>
        </w:rPr>
        <w:t xml:space="preserve"> clause (</w:t>
      </w:r>
      <w:r w:rsidRPr="00B57683">
        <w:rPr>
          <w:rFonts w:ascii="Arial" w:hAnsi="Arial" w:cs="Arial"/>
          <w:i/>
          <w:iCs/>
          <w:color w:val="231F20"/>
          <w:sz w:val="24"/>
          <w:szCs w:val="24"/>
        </w:rPr>
        <w:t>14</w:t>
      </w:r>
      <w:r w:rsidRPr="00B57683">
        <w:rPr>
          <w:rFonts w:ascii="Arial" w:hAnsi="Arial" w:cs="Arial"/>
          <w:color w:val="231F20"/>
          <w:sz w:val="24"/>
          <w:szCs w:val="24"/>
        </w:rPr>
        <w:t xml:space="preserve">), with effect from the </w:t>
      </w:r>
      <w:r w:rsidRPr="00B57683">
        <w:rPr>
          <w:rFonts w:ascii="Arial" w:hAnsi="Arial" w:cs="Arial"/>
          <w:b/>
          <w:bCs/>
          <w:color w:val="231F20"/>
          <w:sz w:val="24"/>
          <w:szCs w:val="24"/>
        </w:rPr>
        <w:t>1st day of April, 2015</w:t>
      </w:r>
      <w:r w:rsidRPr="00B57683">
        <w:rPr>
          <w:rFonts w:ascii="Arial" w:hAnsi="Arial" w:cs="Arial"/>
          <w:color w:val="231F20"/>
          <w:sz w:val="24"/>
          <w:szCs w:val="24"/>
        </w:rPr>
        <w:t>,––</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w:t>
      </w:r>
      <w:r w:rsidRPr="00B57683">
        <w:rPr>
          <w:rFonts w:ascii="Arial" w:hAnsi="Arial" w:cs="Arial"/>
          <w:i/>
          <w:iCs/>
          <w:color w:val="231F20"/>
          <w:sz w:val="24"/>
          <w:szCs w:val="24"/>
        </w:rPr>
        <w:t>A</w:t>
      </w:r>
      <w:r w:rsidRPr="00B57683">
        <w:rPr>
          <w:rFonts w:ascii="Arial" w:hAnsi="Arial" w:cs="Arial"/>
          <w:color w:val="231F20"/>
          <w:sz w:val="24"/>
          <w:szCs w:val="24"/>
        </w:rPr>
        <w:t xml:space="preserve">) </w:t>
      </w:r>
      <w:r>
        <w:rPr>
          <w:rFonts w:ascii="Arial" w:hAnsi="Arial" w:cs="Arial"/>
          <w:color w:val="231F20"/>
          <w:sz w:val="24"/>
          <w:szCs w:val="24"/>
        </w:rPr>
        <w:t xml:space="preserve"> </w:t>
      </w:r>
      <w:proofErr w:type="gramStart"/>
      <w:r w:rsidRPr="00B57683">
        <w:rPr>
          <w:rFonts w:ascii="Arial" w:hAnsi="Arial" w:cs="Arial"/>
          <w:color w:val="231F20"/>
          <w:sz w:val="24"/>
          <w:szCs w:val="24"/>
        </w:rPr>
        <w:t>for</w:t>
      </w:r>
      <w:proofErr w:type="gramEnd"/>
      <w:r w:rsidRPr="00B57683">
        <w:rPr>
          <w:rFonts w:ascii="Arial" w:hAnsi="Arial" w:cs="Arial"/>
          <w:color w:val="231F20"/>
          <w:sz w:val="24"/>
          <w:szCs w:val="24"/>
        </w:rPr>
        <w:t xml:space="preserve"> the words in the opening portion ‘ “capital asset” means property of any kind held by an</w:t>
      </w:r>
      <w:r>
        <w:rPr>
          <w:rFonts w:ascii="Arial" w:hAnsi="Arial" w:cs="Arial"/>
          <w:color w:val="231F20"/>
          <w:sz w:val="24"/>
          <w:szCs w:val="24"/>
        </w:rPr>
        <w:t xml:space="preserve"> </w:t>
      </w:r>
      <w:proofErr w:type="spellStart"/>
      <w:r w:rsidRPr="00B57683">
        <w:rPr>
          <w:rFonts w:ascii="Arial" w:hAnsi="Arial" w:cs="Arial"/>
          <w:color w:val="231F20"/>
          <w:sz w:val="24"/>
          <w:szCs w:val="24"/>
        </w:rPr>
        <w:t>assessee</w:t>
      </w:r>
      <w:proofErr w:type="spellEnd"/>
      <w:r w:rsidRPr="00B57683">
        <w:rPr>
          <w:rFonts w:ascii="Arial" w:hAnsi="Arial" w:cs="Arial"/>
          <w:color w:val="231F20"/>
          <w:sz w:val="24"/>
          <w:szCs w:val="24"/>
        </w:rPr>
        <w:t>, whether or not connected with his business or profession, but does not include––</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w:t>
      </w:r>
      <w:proofErr w:type="spellStart"/>
      <w:r w:rsidRPr="00B57683">
        <w:rPr>
          <w:rFonts w:ascii="Arial" w:hAnsi="Arial" w:cs="Arial"/>
          <w:i/>
          <w:iCs/>
          <w:color w:val="231F20"/>
          <w:sz w:val="24"/>
          <w:szCs w:val="24"/>
        </w:rPr>
        <w:t>i</w:t>
      </w:r>
      <w:proofErr w:type="spellEnd"/>
      <w:r w:rsidRPr="00B57683">
        <w:rPr>
          <w:rFonts w:ascii="Arial" w:hAnsi="Arial" w:cs="Arial"/>
          <w:color w:val="231F20"/>
          <w:sz w:val="24"/>
          <w:szCs w:val="24"/>
        </w:rPr>
        <w:t>) any stock-in-trade’, the following shall be substituted, namely:––</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proofErr w:type="gramStart"/>
      <w:r w:rsidRPr="00B57683">
        <w:rPr>
          <w:rFonts w:ascii="Arial" w:hAnsi="Arial" w:cs="Arial"/>
          <w:color w:val="231F20"/>
          <w:sz w:val="24"/>
          <w:szCs w:val="24"/>
        </w:rPr>
        <w:t>‘ “</w:t>
      </w:r>
      <w:proofErr w:type="gramEnd"/>
      <w:r w:rsidRPr="00B57683">
        <w:rPr>
          <w:rFonts w:ascii="Arial" w:hAnsi="Arial" w:cs="Arial"/>
          <w:color w:val="231F20"/>
          <w:sz w:val="24"/>
          <w:szCs w:val="24"/>
        </w:rPr>
        <w:t>capital asset” means––</w:t>
      </w:r>
    </w:p>
    <w:p w:rsidR="00494FBA" w:rsidRPr="00B57683" w:rsidRDefault="00B57683" w:rsidP="00B57683">
      <w:pPr>
        <w:pStyle w:val="ListParagraph"/>
        <w:numPr>
          <w:ilvl w:val="0"/>
          <w:numId w:val="1"/>
        </w:num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 xml:space="preserve">property of any kind held by an </w:t>
      </w:r>
      <w:proofErr w:type="spellStart"/>
      <w:r w:rsidRPr="00B57683">
        <w:rPr>
          <w:rFonts w:ascii="Arial" w:hAnsi="Arial" w:cs="Arial"/>
          <w:color w:val="231F20"/>
          <w:sz w:val="24"/>
          <w:szCs w:val="24"/>
        </w:rPr>
        <w:t>assessee</w:t>
      </w:r>
      <w:proofErr w:type="spellEnd"/>
      <w:r w:rsidRPr="00B57683">
        <w:rPr>
          <w:rFonts w:ascii="Arial" w:hAnsi="Arial" w:cs="Arial"/>
          <w:color w:val="231F20"/>
          <w:sz w:val="24"/>
          <w:szCs w:val="24"/>
        </w:rPr>
        <w:t>, whether or not connected with his business or profession;</w:t>
      </w:r>
    </w:p>
    <w:p w:rsidR="00B57683" w:rsidRPr="00B57683" w:rsidRDefault="00B57683" w:rsidP="00B57683">
      <w:pPr>
        <w:pStyle w:val="ListParagraph"/>
        <w:numPr>
          <w:ilvl w:val="0"/>
          <w:numId w:val="1"/>
        </w:numPr>
        <w:autoSpaceDE w:val="0"/>
        <w:autoSpaceDN w:val="0"/>
        <w:adjustRightInd w:val="0"/>
        <w:spacing w:after="0" w:line="240" w:lineRule="auto"/>
        <w:rPr>
          <w:rFonts w:ascii="Arial" w:hAnsi="Arial" w:cs="Arial"/>
          <w:b/>
          <w:bCs/>
          <w:color w:val="231F20"/>
          <w:sz w:val="24"/>
          <w:szCs w:val="24"/>
        </w:rPr>
      </w:pPr>
      <w:r w:rsidRPr="00B57683">
        <w:rPr>
          <w:rFonts w:ascii="Arial" w:hAnsi="Arial" w:cs="Arial"/>
          <w:b/>
          <w:bCs/>
          <w:color w:val="231F20"/>
          <w:sz w:val="24"/>
          <w:szCs w:val="24"/>
        </w:rPr>
        <w:t xml:space="preserve">any securities held by a Foreign Institutional Investor which has invested in such securities in accordance with the regulations </w:t>
      </w:r>
      <w:r>
        <w:rPr>
          <w:rFonts w:ascii="Arial" w:hAnsi="Arial" w:cs="Arial"/>
          <w:b/>
          <w:bCs/>
          <w:color w:val="231F20"/>
          <w:sz w:val="24"/>
          <w:szCs w:val="24"/>
        </w:rPr>
        <w:t xml:space="preserve">made under the </w:t>
      </w:r>
      <w:r w:rsidRPr="00B57683">
        <w:rPr>
          <w:rFonts w:ascii="Arial" w:hAnsi="Arial" w:cs="Arial"/>
          <w:b/>
          <w:bCs/>
          <w:color w:val="231F20"/>
          <w:sz w:val="24"/>
          <w:szCs w:val="24"/>
        </w:rPr>
        <w:t>Securities and Exchange Board of India Act, 1992,</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proofErr w:type="gramStart"/>
      <w:r w:rsidRPr="00B57683">
        <w:rPr>
          <w:rFonts w:ascii="Arial" w:hAnsi="Arial" w:cs="Arial"/>
          <w:color w:val="231F20"/>
          <w:sz w:val="24"/>
          <w:szCs w:val="24"/>
        </w:rPr>
        <w:t>but</w:t>
      </w:r>
      <w:proofErr w:type="gramEnd"/>
      <w:r w:rsidRPr="00B57683">
        <w:rPr>
          <w:rFonts w:ascii="Arial" w:hAnsi="Arial" w:cs="Arial"/>
          <w:color w:val="231F20"/>
          <w:sz w:val="24"/>
          <w:szCs w:val="24"/>
        </w:rPr>
        <w:t xml:space="preserve"> does not include––</w:t>
      </w:r>
    </w:p>
    <w:p w:rsidR="00B57683" w:rsidRDefault="00B57683" w:rsidP="00B57683">
      <w:pPr>
        <w:pStyle w:val="ListParagraph"/>
        <w:numPr>
          <w:ilvl w:val="0"/>
          <w:numId w:val="3"/>
        </w:num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any stock-in-trade [other than the securities referred to in sub-clause (</w:t>
      </w:r>
      <w:r w:rsidRPr="00B57683">
        <w:rPr>
          <w:rFonts w:ascii="Arial" w:hAnsi="Arial" w:cs="Arial"/>
          <w:i/>
          <w:iCs/>
          <w:color w:val="231F20"/>
          <w:sz w:val="24"/>
          <w:szCs w:val="24"/>
        </w:rPr>
        <w:t>b</w:t>
      </w:r>
      <w:r w:rsidRPr="00B57683">
        <w:rPr>
          <w:rFonts w:ascii="Arial" w:hAnsi="Arial" w:cs="Arial"/>
          <w:color w:val="231F20"/>
          <w:sz w:val="24"/>
          <w:szCs w:val="24"/>
        </w:rPr>
        <w:t>)],’;</w:t>
      </w:r>
    </w:p>
    <w:p w:rsidR="00B57683" w:rsidRDefault="00B57683" w:rsidP="00B57683">
      <w:pPr>
        <w:autoSpaceDE w:val="0"/>
        <w:autoSpaceDN w:val="0"/>
        <w:adjustRightInd w:val="0"/>
        <w:spacing w:after="0" w:line="240" w:lineRule="auto"/>
        <w:rPr>
          <w:rFonts w:ascii="Arial" w:hAnsi="Arial" w:cs="Arial"/>
          <w:color w:val="231F20"/>
          <w:sz w:val="24"/>
          <w:szCs w:val="24"/>
        </w:rPr>
      </w:pP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w:t>
      </w:r>
      <w:r w:rsidRPr="00B57683">
        <w:rPr>
          <w:rFonts w:ascii="Arial" w:hAnsi="Arial" w:cs="Arial"/>
          <w:i/>
          <w:iCs/>
          <w:color w:val="231F20"/>
          <w:sz w:val="24"/>
          <w:szCs w:val="24"/>
        </w:rPr>
        <w:t>B</w:t>
      </w:r>
      <w:r w:rsidRPr="00B57683">
        <w:rPr>
          <w:rFonts w:ascii="Arial" w:hAnsi="Arial" w:cs="Arial"/>
          <w:color w:val="231F20"/>
          <w:sz w:val="24"/>
          <w:szCs w:val="24"/>
        </w:rPr>
        <w:t>)</w:t>
      </w:r>
      <w:r>
        <w:rPr>
          <w:rFonts w:ascii="Arial" w:hAnsi="Arial" w:cs="Arial"/>
          <w:color w:val="231F20"/>
          <w:sz w:val="24"/>
          <w:szCs w:val="24"/>
        </w:rPr>
        <w:t xml:space="preserve"> </w:t>
      </w:r>
      <w:r w:rsidRPr="00B57683">
        <w:rPr>
          <w:rFonts w:ascii="Arial" w:hAnsi="Arial" w:cs="Arial"/>
          <w:color w:val="231F20"/>
          <w:sz w:val="24"/>
          <w:szCs w:val="24"/>
        </w:rPr>
        <w:t xml:space="preserve"> </w:t>
      </w:r>
      <w:proofErr w:type="gramStart"/>
      <w:r w:rsidRPr="00B57683">
        <w:rPr>
          <w:rFonts w:ascii="Arial" w:hAnsi="Arial" w:cs="Arial"/>
          <w:color w:val="231F20"/>
          <w:sz w:val="24"/>
          <w:szCs w:val="24"/>
        </w:rPr>
        <w:t>the</w:t>
      </w:r>
      <w:proofErr w:type="gramEnd"/>
      <w:r w:rsidRPr="00B57683">
        <w:rPr>
          <w:rFonts w:ascii="Arial" w:hAnsi="Arial" w:cs="Arial"/>
          <w:color w:val="231F20"/>
          <w:sz w:val="24"/>
          <w:szCs w:val="24"/>
        </w:rPr>
        <w:t xml:space="preserve"> </w:t>
      </w:r>
      <w:r w:rsidRPr="00B57683">
        <w:rPr>
          <w:rFonts w:ascii="Arial" w:hAnsi="Arial" w:cs="Arial"/>
          <w:i/>
          <w:iCs/>
          <w:color w:val="231F20"/>
          <w:sz w:val="24"/>
          <w:szCs w:val="24"/>
        </w:rPr>
        <w:t xml:space="preserve">Explanation </w:t>
      </w:r>
      <w:r w:rsidRPr="00B57683">
        <w:rPr>
          <w:rFonts w:ascii="Arial" w:hAnsi="Arial" w:cs="Arial"/>
          <w:color w:val="231F20"/>
          <w:sz w:val="24"/>
          <w:szCs w:val="24"/>
        </w:rPr>
        <w:t>occurring at the end shall be numbered as “</w:t>
      </w:r>
      <w:r w:rsidRPr="00B57683">
        <w:rPr>
          <w:rFonts w:ascii="Arial" w:hAnsi="Arial" w:cs="Arial"/>
          <w:i/>
          <w:iCs/>
          <w:color w:val="231F20"/>
          <w:sz w:val="24"/>
          <w:szCs w:val="24"/>
        </w:rPr>
        <w:t>Explanation 1</w:t>
      </w:r>
      <w:r w:rsidRPr="00B57683">
        <w:rPr>
          <w:rFonts w:ascii="Arial" w:hAnsi="Arial" w:cs="Arial"/>
          <w:color w:val="231F20"/>
          <w:sz w:val="24"/>
          <w:szCs w:val="24"/>
        </w:rPr>
        <w:t>” thereof and</w:t>
      </w:r>
      <w:r>
        <w:rPr>
          <w:rFonts w:ascii="Arial" w:hAnsi="Arial" w:cs="Arial"/>
          <w:color w:val="231F20"/>
          <w:sz w:val="24"/>
          <w:szCs w:val="24"/>
        </w:rPr>
        <w:t xml:space="preserve"> </w:t>
      </w:r>
      <w:r w:rsidRPr="00B57683">
        <w:rPr>
          <w:rFonts w:ascii="Arial" w:hAnsi="Arial" w:cs="Arial"/>
          <w:color w:val="231F20"/>
          <w:sz w:val="24"/>
          <w:szCs w:val="24"/>
        </w:rPr>
        <w:t xml:space="preserve">after the </w:t>
      </w:r>
      <w:r w:rsidRPr="00B57683">
        <w:rPr>
          <w:rFonts w:ascii="Arial" w:hAnsi="Arial" w:cs="Arial"/>
          <w:i/>
          <w:iCs/>
          <w:color w:val="231F20"/>
          <w:sz w:val="24"/>
          <w:szCs w:val="24"/>
        </w:rPr>
        <w:t xml:space="preserve">Explanation </w:t>
      </w:r>
      <w:r w:rsidRPr="00B57683">
        <w:rPr>
          <w:rFonts w:ascii="Arial" w:hAnsi="Arial" w:cs="Arial"/>
          <w:color w:val="231F20"/>
          <w:sz w:val="24"/>
          <w:szCs w:val="24"/>
        </w:rPr>
        <w:t xml:space="preserve">as so numbered, the following </w:t>
      </w:r>
      <w:r w:rsidRPr="00B57683">
        <w:rPr>
          <w:rFonts w:ascii="Arial" w:hAnsi="Arial" w:cs="Arial"/>
          <w:i/>
          <w:iCs/>
          <w:color w:val="231F20"/>
          <w:sz w:val="24"/>
          <w:szCs w:val="24"/>
        </w:rPr>
        <w:t xml:space="preserve">Explanation </w:t>
      </w:r>
      <w:r w:rsidRPr="00B57683">
        <w:rPr>
          <w:rFonts w:ascii="Arial" w:hAnsi="Arial" w:cs="Arial"/>
          <w:color w:val="231F20"/>
          <w:sz w:val="24"/>
          <w:szCs w:val="24"/>
        </w:rPr>
        <w:t>shall be inserted, namely:––</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b/>
          <w:bCs/>
          <w:color w:val="231F20"/>
          <w:sz w:val="24"/>
          <w:szCs w:val="24"/>
        </w:rPr>
        <w:t>‘</w:t>
      </w:r>
      <w:r w:rsidRPr="00B57683">
        <w:rPr>
          <w:rFonts w:ascii="Arial" w:hAnsi="Arial" w:cs="Arial"/>
          <w:b/>
          <w:bCs/>
          <w:i/>
          <w:iCs/>
          <w:color w:val="231F20"/>
          <w:sz w:val="24"/>
          <w:szCs w:val="24"/>
        </w:rPr>
        <w:t xml:space="preserve">Explanation </w:t>
      </w:r>
      <w:r w:rsidRPr="00B57683">
        <w:rPr>
          <w:rFonts w:ascii="Arial" w:hAnsi="Arial" w:cs="Arial"/>
          <w:b/>
          <w:bCs/>
          <w:color w:val="231F20"/>
          <w:sz w:val="24"/>
          <w:szCs w:val="24"/>
        </w:rPr>
        <w:t>2</w:t>
      </w:r>
      <w:r w:rsidRPr="00B57683">
        <w:rPr>
          <w:rFonts w:ascii="Arial" w:hAnsi="Arial" w:cs="Arial"/>
          <w:color w:val="231F20"/>
          <w:sz w:val="24"/>
          <w:szCs w:val="24"/>
        </w:rPr>
        <w:t>.––For the purposes of this clause––</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w:t>
      </w:r>
      <w:r w:rsidRPr="00B57683">
        <w:rPr>
          <w:rFonts w:ascii="Arial" w:hAnsi="Arial" w:cs="Arial"/>
          <w:i/>
          <w:iCs/>
          <w:color w:val="231F20"/>
          <w:sz w:val="24"/>
          <w:szCs w:val="24"/>
        </w:rPr>
        <w:t>a</w:t>
      </w:r>
      <w:r w:rsidRPr="00B57683">
        <w:rPr>
          <w:rFonts w:ascii="Arial" w:hAnsi="Arial" w:cs="Arial"/>
          <w:color w:val="231F20"/>
          <w:sz w:val="24"/>
          <w:szCs w:val="24"/>
        </w:rPr>
        <w:t xml:space="preserve">) </w:t>
      </w:r>
      <w:proofErr w:type="gramStart"/>
      <w:r w:rsidRPr="00B57683">
        <w:rPr>
          <w:rFonts w:ascii="Arial" w:hAnsi="Arial" w:cs="Arial"/>
          <w:color w:val="231F20"/>
          <w:sz w:val="24"/>
          <w:szCs w:val="24"/>
        </w:rPr>
        <w:t>the</w:t>
      </w:r>
      <w:proofErr w:type="gramEnd"/>
      <w:r w:rsidRPr="00B57683">
        <w:rPr>
          <w:rFonts w:ascii="Arial" w:hAnsi="Arial" w:cs="Arial"/>
          <w:color w:val="231F20"/>
          <w:sz w:val="24"/>
          <w:szCs w:val="24"/>
        </w:rPr>
        <w:t xml:space="preserve"> expression “Foreign Institutional Investor” shall have the meaning assigned to it in</w:t>
      </w:r>
      <w:r>
        <w:rPr>
          <w:rFonts w:ascii="Arial" w:hAnsi="Arial" w:cs="Arial"/>
          <w:color w:val="231F20"/>
          <w:sz w:val="24"/>
          <w:szCs w:val="24"/>
        </w:rPr>
        <w:t xml:space="preserve"> </w:t>
      </w:r>
      <w:r w:rsidRPr="00B57683">
        <w:rPr>
          <w:rFonts w:ascii="Arial" w:hAnsi="Arial" w:cs="Arial"/>
          <w:color w:val="231F20"/>
          <w:sz w:val="24"/>
          <w:szCs w:val="24"/>
        </w:rPr>
        <w:t>clause (</w:t>
      </w:r>
      <w:r w:rsidRPr="00B57683">
        <w:rPr>
          <w:rFonts w:ascii="Arial" w:hAnsi="Arial" w:cs="Arial"/>
          <w:i/>
          <w:iCs/>
          <w:color w:val="231F20"/>
          <w:sz w:val="24"/>
          <w:szCs w:val="24"/>
        </w:rPr>
        <w:t>a</w:t>
      </w:r>
      <w:r w:rsidRPr="00B57683">
        <w:rPr>
          <w:rFonts w:ascii="Arial" w:hAnsi="Arial" w:cs="Arial"/>
          <w:color w:val="231F20"/>
          <w:sz w:val="24"/>
          <w:szCs w:val="24"/>
        </w:rPr>
        <w:t xml:space="preserve">) of the </w:t>
      </w:r>
      <w:r w:rsidRPr="00B57683">
        <w:rPr>
          <w:rFonts w:ascii="Arial" w:hAnsi="Arial" w:cs="Arial"/>
          <w:i/>
          <w:iCs/>
          <w:color w:val="231F20"/>
          <w:sz w:val="24"/>
          <w:szCs w:val="24"/>
        </w:rPr>
        <w:t xml:space="preserve">Explanation </w:t>
      </w:r>
      <w:r w:rsidRPr="00B57683">
        <w:rPr>
          <w:rFonts w:ascii="Arial" w:hAnsi="Arial" w:cs="Arial"/>
          <w:color w:val="231F20"/>
          <w:sz w:val="24"/>
          <w:szCs w:val="24"/>
        </w:rPr>
        <w:t>to section 115AD;</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r w:rsidRPr="00B57683">
        <w:rPr>
          <w:rFonts w:ascii="Arial" w:hAnsi="Arial" w:cs="Arial"/>
          <w:color w:val="231F20"/>
          <w:sz w:val="24"/>
          <w:szCs w:val="24"/>
        </w:rPr>
        <w:t>(</w:t>
      </w:r>
      <w:r w:rsidRPr="00B57683">
        <w:rPr>
          <w:rFonts w:ascii="Arial" w:hAnsi="Arial" w:cs="Arial"/>
          <w:i/>
          <w:iCs/>
          <w:color w:val="231F20"/>
          <w:sz w:val="24"/>
          <w:szCs w:val="24"/>
        </w:rPr>
        <w:t>b</w:t>
      </w:r>
      <w:r w:rsidRPr="00B57683">
        <w:rPr>
          <w:rFonts w:ascii="Arial" w:hAnsi="Arial" w:cs="Arial"/>
          <w:color w:val="231F20"/>
          <w:sz w:val="24"/>
          <w:szCs w:val="24"/>
        </w:rPr>
        <w:t xml:space="preserve">) </w:t>
      </w:r>
      <w:proofErr w:type="gramStart"/>
      <w:r w:rsidRPr="00B57683">
        <w:rPr>
          <w:rFonts w:ascii="Arial" w:hAnsi="Arial" w:cs="Arial"/>
          <w:color w:val="231F20"/>
          <w:sz w:val="24"/>
          <w:szCs w:val="24"/>
        </w:rPr>
        <w:t>the</w:t>
      </w:r>
      <w:proofErr w:type="gramEnd"/>
      <w:r w:rsidRPr="00B57683">
        <w:rPr>
          <w:rFonts w:ascii="Arial" w:hAnsi="Arial" w:cs="Arial"/>
          <w:color w:val="231F20"/>
          <w:sz w:val="24"/>
          <w:szCs w:val="24"/>
        </w:rPr>
        <w:t xml:space="preserve"> expression “securities” shall have the meaning assigned to it in clause (</w:t>
      </w:r>
      <w:r w:rsidRPr="00B57683">
        <w:rPr>
          <w:rFonts w:ascii="Arial" w:hAnsi="Arial" w:cs="Arial"/>
          <w:i/>
          <w:iCs/>
          <w:color w:val="231F20"/>
          <w:sz w:val="24"/>
          <w:szCs w:val="24"/>
        </w:rPr>
        <w:t>h</w:t>
      </w:r>
      <w:r w:rsidRPr="00B57683">
        <w:rPr>
          <w:rFonts w:ascii="Arial" w:hAnsi="Arial" w:cs="Arial"/>
          <w:color w:val="231F20"/>
          <w:sz w:val="24"/>
          <w:szCs w:val="24"/>
        </w:rPr>
        <w:t>) of</w:t>
      </w:r>
    </w:p>
    <w:p w:rsidR="00B57683" w:rsidRPr="00B57683" w:rsidRDefault="00B57683" w:rsidP="00B57683">
      <w:pPr>
        <w:autoSpaceDE w:val="0"/>
        <w:autoSpaceDN w:val="0"/>
        <w:adjustRightInd w:val="0"/>
        <w:spacing w:after="0" w:line="240" w:lineRule="auto"/>
        <w:rPr>
          <w:rFonts w:ascii="Arial" w:hAnsi="Arial" w:cs="Arial"/>
          <w:color w:val="231F20"/>
          <w:sz w:val="24"/>
          <w:szCs w:val="24"/>
        </w:rPr>
      </w:pPr>
      <w:proofErr w:type="gramStart"/>
      <w:r w:rsidRPr="00B57683">
        <w:rPr>
          <w:rFonts w:ascii="Arial" w:hAnsi="Arial" w:cs="Arial"/>
          <w:color w:val="231F20"/>
          <w:sz w:val="24"/>
          <w:szCs w:val="24"/>
        </w:rPr>
        <w:t>section</w:t>
      </w:r>
      <w:proofErr w:type="gramEnd"/>
      <w:r w:rsidRPr="00B57683">
        <w:rPr>
          <w:rFonts w:ascii="Arial" w:hAnsi="Arial" w:cs="Arial"/>
          <w:color w:val="231F20"/>
          <w:sz w:val="24"/>
          <w:szCs w:val="24"/>
        </w:rPr>
        <w:t xml:space="preserve"> 2 of the Securities Contracts (Regulation) Act, 1956;’;</w:t>
      </w:r>
    </w:p>
    <w:p w:rsidR="00B57683" w:rsidRDefault="00B57683">
      <w:pPr>
        <w:autoSpaceDE w:val="0"/>
        <w:autoSpaceDN w:val="0"/>
        <w:adjustRightInd w:val="0"/>
        <w:spacing w:after="0" w:line="240" w:lineRule="auto"/>
        <w:rPr>
          <w:rFonts w:ascii="Arial" w:hAnsi="Arial" w:cs="Arial"/>
          <w:color w:val="231F20"/>
          <w:sz w:val="24"/>
          <w:szCs w:val="24"/>
        </w:rPr>
      </w:pPr>
    </w:p>
    <w:p w:rsidR="006C7318" w:rsidRDefault="006C7318">
      <w:pPr>
        <w:autoSpaceDE w:val="0"/>
        <w:autoSpaceDN w:val="0"/>
        <w:adjustRightInd w:val="0"/>
        <w:spacing w:after="0" w:line="240" w:lineRule="auto"/>
        <w:rPr>
          <w:rFonts w:ascii="Arial" w:hAnsi="Arial" w:cs="Arial"/>
          <w:color w:val="231F20"/>
          <w:sz w:val="24"/>
          <w:szCs w:val="24"/>
        </w:rPr>
      </w:pPr>
    </w:p>
    <w:p w:rsidR="006C7318" w:rsidRDefault="006C7318" w:rsidP="006C7318">
      <w:pPr>
        <w:pStyle w:val="NormalWeb"/>
        <w:shd w:val="clear" w:color="auto" w:fill="FFFFFF"/>
        <w:jc w:val="center"/>
        <w:rPr>
          <w:rFonts w:ascii="Helvetica" w:hAnsi="Helvetica" w:cs="Helvetica"/>
          <w:color w:val="000000"/>
          <w:sz w:val="23"/>
          <w:szCs w:val="23"/>
        </w:rPr>
      </w:pPr>
      <w:proofErr w:type="spellStart"/>
      <w:r>
        <w:rPr>
          <w:rStyle w:val="Strong"/>
          <w:rFonts w:ascii="Helvetica" w:hAnsi="Helvetica" w:cs="Helvetica"/>
          <w:color w:val="000000"/>
          <w:sz w:val="23"/>
          <w:szCs w:val="23"/>
        </w:rPr>
        <w:t>Characterisation</w:t>
      </w:r>
      <w:proofErr w:type="spellEnd"/>
      <w:r>
        <w:rPr>
          <w:rStyle w:val="Strong"/>
          <w:rFonts w:ascii="Helvetica" w:hAnsi="Helvetica" w:cs="Helvetica"/>
          <w:color w:val="000000"/>
          <w:sz w:val="23"/>
          <w:szCs w:val="23"/>
        </w:rPr>
        <w:t xml:space="preserve"> of Income in case of Foreign Institutional Investors</w:t>
      </w:r>
    </w:p>
    <w:p w:rsidR="006C7318" w:rsidRDefault="006C7318" w:rsidP="006C7318">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xml:space="preserve">     Section 2 (14) of the Act defines the term “capital asset” to include property of any kind held by an </w:t>
      </w:r>
      <w:proofErr w:type="spellStart"/>
      <w:r>
        <w:rPr>
          <w:rFonts w:ascii="Helvetica" w:hAnsi="Helvetica" w:cs="Helvetica"/>
          <w:color w:val="000000"/>
          <w:sz w:val="23"/>
          <w:szCs w:val="23"/>
        </w:rPr>
        <w:t>assessee</w:t>
      </w:r>
      <w:proofErr w:type="spellEnd"/>
      <w:r>
        <w:rPr>
          <w:rFonts w:ascii="Helvetica" w:hAnsi="Helvetica" w:cs="Helvetica"/>
          <w:color w:val="000000"/>
          <w:sz w:val="23"/>
          <w:szCs w:val="23"/>
        </w:rPr>
        <w:t>, whether or not connected with his business or profession, but does not include any stock-in-trade or personal assets as provided in the definition.</w:t>
      </w:r>
    </w:p>
    <w:p w:rsidR="006C7318" w:rsidRDefault="006C7318" w:rsidP="006C7318">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xml:space="preserve">     The foreign portfolio investors (referred as foreign institutional investors in the Act) face a difficulty in </w:t>
      </w:r>
      <w:proofErr w:type="spellStart"/>
      <w:r>
        <w:rPr>
          <w:rFonts w:ascii="Helvetica" w:hAnsi="Helvetica" w:cs="Helvetica"/>
          <w:color w:val="000000"/>
          <w:sz w:val="23"/>
          <w:szCs w:val="23"/>
        </w:rPr>
        <w:t>characterisation</w:t>
      </w:r>
      <w:proofErr w:type="spellEnd"/>
      <w:r>
        <w:rPr>
          <w:rFonts w:ascii="Helvetica" w:hAnsi="Helvetica" w:cs="Helvetica"/>
          <w:color w:val="000000"/>
          <w:sz w:val="23"/>
          <w:szCs w:val="23"/>
        </w:rPr>
        <w:t xml:space="preserve"> of their income arising from transaction in securities as to whether it is capital gain or business income. Further, the fund manager managing the funds of such investor remains outside India under the apprehension that its presence in India may have adverse tax consequences.</w:t>
      </w:r>
    </w:p>
    <w:p w:rsidR="006C7318" w:rsidRDefault="006C7318" w:rsidP="006C7318">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Therefore, in order to end this uncertainty, it is proposed to amend the Act to provide that any security held by foreign institutional investor which has invested in such security in accordance with the regulations made under the Securities and Exchange Board of India Act, 1992 would be treated as capital asset only so that any income arising from transfer of such security by a Foreign Portfolio Investor (FPI) would be in the nature of capital gain.</w:t>
      </w:r>
    </w:p>
    <w:p w:rsidR="006C7318" w:rsidRDefault="006C7318" w:rsidP="006C7318">
      <w:pPr>
        <w:pStyle w:val="NormalWeb"/>
        <w:shd w:val="clear" w:color="auto" w:fill="FFFFFF"/>
        <w:jc w:val="both"/>
        <w:rPr>
          <w:rFonts w:ascii="Helvetica" w:hAnsi="Helvetica" w:cs="Helvetica"/>
          <w:color w:val="000000"/>
          <w:sz w:val="23"/>
          <w:szCs w:val="23"/>
        </w:rPr>
      </w:pPr>
      <w:r>
        <w:rPr>
          <w:rFonts w:ascii="Helvetica" w:hAnsi="Helvetica" w:cs="Helvetica"/>
          <w:color w:val="000000"/>
          <w:sz w:val="23"/>
          <w:szCs w:val="23"/>
        </w:rPr>
        <w:t>     This amendment will take effect from 1st April, 2015 and will, accordingly, apply in relation to the assessment year 2015-16 and subsequent assessment years.</w:t>
      </w:r>
    </w:p>
    <w:p w:rsidR="006C7318" w:rsidRPr="00B57683" w:rsidRDefault="006C7318">
      <w:pPr>
        <w:autoSpaceDE w:val="0"/>
        <w:autoSpaceDN w:val="0"/>
        <w:adjustRightInd w:val="0"/>
        <w:spacing w:after="0" w:line="240" w:lineRule="auto"/>
        <w:rPr>
          <w:rFonts w:ascii="Arial" w:hAnsi="Arial" w:cs="Arial"/>
          <w:color w:val="231F20"/>
          <w:sz w:val="24"/>
          <w:szCs w:val="24"/>
        </w:rPr>
      </w:pPr>
    </w:p>
    <w:sectPr w:rsidR="006C7318" w:rsidRPr="00B57683" w:rsidSect="00494F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A4E11"/>
    <w:multiLevelType w:val="hybridMultilevel"/>
    <w:tmpl w:val="7BD6525C"/>
    <w:lvl w:ilvl="0" w:tplc="85FC779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450F6"/>
    <w:multiLevelType w:val="hybridMultilevel"/>
    <w:tmpl w:val="7BD6525C"/>
    <w:lvl w:ilvl="0" w:tplc="85FC779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D31A8"/>
    <w:multiLevelType w:val="hybridMultilevel"/>
    <w:tmpl w:val="05943CBA"/>
    <w:lvl w:ilvl="0" w:tplc="2DC08BF6">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57683"/>
    <w:rsid w:val="00494FBA"/>
    <w:rsid w:val="006C7318"/>
    <w:rsid w:val="00B576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F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683"/>
    <w:pPr>
      <w:ind w:left="720"/>
      <w:contextualSpacing/>
    </w:pPr>
  </w:style>
  <w:style w:type="paragraph" w:styleId="NormalWeb">
    <w:name w:val="Normal (Web)"/>
    <w:basedOn w:val="Normal"/>
    <w:uiPriority w:val="99"/>
    <w:semiHidden/>
    <w:unhideWhenUsed/>
    <w:rsid w:val="006C731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7318"/>
    <w:rPr>
      <w:b/>
      <w:bCs/>
    </w:rPr>
  </w:style>
</w:styles>
</file>

<file path=word/webSettings.xml><?xml version="1.0" encoding="utf-8"?>
<w:webSettings xmlns:r="http://schemas.openxmlformats.org/officeDocument/2006/relationships" xmlns:w="http://schemas.openxmlformats.org/wordprocessingml/2006/main">
  <w:divs>
    <w:div w:id="167472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2014-07-15T07:16:00Z</dcterms:created>
  <dcterms:modified xsi:type="dcterms:W3CDTF">2014-07-15T08:02:00Z</dcterms:modified>
</cp:coreProperties>
</file>